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2D" w:rsidRPr="00051A3E" w:rsidRDefault="0072692D" w:rsidP="00051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>Анкета на определение уровня мотивации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A3E">
        <w:rPr>
          <w:rFonts w:ascii="Times New Roman" w:hAnsi="Times New Roman" w:cs="Times New Roman"/>
          <w:i/>
          <w:sz w:val="24"/>
          <w:szCs w:val="24"/>
        </w:rPr>
        <w:t>(разработана на основе «Анкеты по оценке уровня школьной мотивации учащихся</w:t>
      </w:r>
    </w:p>
    <w:p w:rsidR="0072692D" w:rsidRDefault="0072692D" w:rsidP="0005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1A3E">
        <w:rPr>
          <w:rFonts w:ascii="Times New Roman" w:hAnsi="Times New Roman" w:cs="Times New Roman"/>
          <w:i/>
          <w:sz w:val="24"/>
          <w:szCs w:val="24"/>
        </w:rPr>
        <w:t>начальной школы» Н. Г. Лускановой)</w:t>
      </w:r>
    </w:p>
    <w:p w:rsidR="00051A3E" w:rsidRPr="00051A3E" w:rsidRDefault="00051A3E" w:rsidP="0005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Данная анкета может быть использована при индивидуальном обследовании ребенка, а также может применяться для групповой диагностики. При этом допустимы два варианта предъявления.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1. Вопросы читаются экспериментатором вслух, предлагаются варианты ответов, а дети (или ребенок) должны написать те ответы, которые они выбирают.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2. Анкеты в напечатанном виде раздаются всем ученикам, и экспериментатор просит их отметить подходящие ответы.</w:t>
      </w:r>
    </w:p>
    <w:p w:rsidR="0072692D" w:rsidRPr="00051A3E" w:rsidRDefault="0072692D" w:rsidP="00051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Каждый вариант имеет свои преимущества и недостатки. При первом варианте выше фактор лжи, так как дети в большей степени ориентируются на нормы и правила, поскольку видят перед собой взрослого, задающего вопросы. Второй вариант предъявления позволяет получить более искренние ответы.</w:t>
      </w:r>
    </w:p>
    <w:p w:rsidR="0072692D" w:rsidRPr="00051A3E" w:rsidRDefault="0072692D" w:rsidP="00051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Анкета допускает повторные опросы, что позволяет оценить динамику мотивации. Снижение уровня мотивации может служить критерием дезадаптации ребенка, а его повышение — положительной динамикой в обучении и развитии младшего школьника.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АНКЕТА: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1. Тебе нравится заниматься театральной деятельностью?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нравится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очень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нравится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2. Ты всегда с радостью идешь на занятия или тебе часто хочется остаться дома?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иду с радостью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бывает по-разному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чаще хочется остаться дома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3. Если бы преподаватель сказал, что завтра на занятия не обязательно приходить всем, что желающие могут остаться дома, ты пошел бы на занятия  или остался дома?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пошел бы на занятия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знаю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остался бы дома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4. Тебе нравится, когда у вас отменяют занятия?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нравится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бывает по-разному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нравится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5. Ты хотел бы, чтобы тебе не задавали домашних заданий?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не хотел бы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знаю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—хотел бы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6. Ты хотел бы, чтобы на занятиях остались одни игры и не было репетиций?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не хотел бы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знаю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хотел бы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7. Ты часто рассказываешь о театральном объединении родителям?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lastRenderedPageBreak/>
        <w:t>— часто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редко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рассказываю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8. Ты хотел бы, чтобы у тебя был менее строгий преподаватель?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не хотел бы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точно не знаю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хотел бы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9. У тебя в коллективе много друзей?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— много 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мало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нет друзей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10. Тебе нравятся ребята из коллектива?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нравятся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очень</w:t>
      </w:r>
    </w:p>
    <w:p w:rsidR="0072692D" w:rsidRPr="00051A3E" w:rsidRDefault="0072692D" w:rsidP="0005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— не нравятся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  <w:u w:val="single"/>
        </w:rPr>
        <w:t>Анализ результатов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этой анкеты проводится следующим образом: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за каждый первый ответ – 3 балла,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промежуточный – 1 балл,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последний – 0 баллов.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Максимальная оценка 30 баллов.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 xml:space="preserve">Чем выше балл, тем выше мотивация.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 xml:space="preserve">Оценка 5. </w:t>
      </w:r>
      <w:r w:rsidRPr="00051A3E">
        <w:rPr>
          <w:rFonts w:ascii="Times New Roman" w:hAnsi="Times New Roman" w:cs="Times New Roman"/>
          <w:i/>
          <w:sz w:val="24"/>
          <w:szCs w:val="24"/>
        </w:rPr>
        <w:t>25-30 баллов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– максимально высокий уровень мотивации. Такие дети отличаются наличием высоких познавательных мотивов, стремлением наиболее успешно выполнять все предъявляемые педагогом требования. 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>Оценка 4.</w:t>
      </w:r>
      <w:r w:rsidRPr="00051A3E">
        <w:rPr>
          <w:rFonts w:ascii="Times New Roman" w:hAnsi="Times New Roman" w:cs="Times New Roman"/>
          <w:i/>
          <w:sz w:val="24"/>
          <w:szCs w:val="24"/>
        </w:rPr>
        <w:t xml:space="preserve"> 20-24 баллов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– хорошая мотивация. Подобные показатели имеет большинство воспитанников начальных классов, успешно справляющихся с театральной деятельностью.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>Оценка 3.</w:t>
      </w:r>
      <w:r w:rsidRPr="00051A3E">
        <w:rPr>
          <w:rFonts w:ascii="Times New Roman" w:hAnsi="Times New Roman" w:cs="Times New Roman"/>
          <w:i/>
          <w:sz w:val="24"/>
          <w:szCs w:val="24"/>
        </w:rPr>
        <w:t xml:space="preserve"> 15-19 баллов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– положительное отношение к занятиям, театральная деятельность привлекает больше внеучебными сторонами (внешняя мотивация). Такие дети достаточно благополучно чувствуют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sz w:val="24"/>
          <w:szCs w:val="24"/>
        </w:rPr>
        <w:t>себя в коллективе, однако чаще ходят на занятия, чтобы общаться с друзьями, с педагогом. Познавательные мотивы у таких детей сформированы в меньшей степени и учебный процесс их мало привлекает.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>Оценка 2.</w:t>
      </w:r>
      <w:r w:rsidRPr="00051A3E">
        <w:rPr>
          <w:rFonts w:ascii="Times New Roman" w:hAnsi="Times New Roman" w:cs="Times New Roman"/>
          <w:i/>
          <w:sz w:val="24"/>
          <w:szCs w:val="24"/>
        </w:rPr>
        <w:t xml:space="preserve"> 10-15 баллов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– низкая мотивация. Подобные обучающиеся посещают школу неохотно, предпочитают пропускать занятия. На занятиях часто занимаются посторонними делами. Испытывают серьезные затруднения в учебной деятельности. Находятся в состоянии неустойчивой адаптации к занятиям.</w:t>
      </w:r>
    </w:p>
    <w:p w:rsidR="0072692D" w:rsidRPr="00051A3E" w:rsidRDefault="0072692D" w:rsidP="0005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t>Оценка 1.</w:t>
      </w:r>
      <w:r w:rsidRPr="00051A3E">
        <w:rPr>
          <w:rFonts w:ascii="Times New Roman" w:hAnsi="Times New Roman" w:cs="Times New Roman"/>
          <w:i/>
          <w:sz w:val="24"/>
          <w:szCs w:val="24"/>
        </w:rPr>
        <w:t>Ниже 10 баллов</w:t>
      </w:r>
      <w:r w:rsidRPr="00051A3E">
        <w:rPr>
          <w:rFonts w:ascii="Times New Roman" w:hAnsi="Times New Roman" w:cs="Times New Roman"/>
          <w:sz w:val="24"/>
          <w:szCs w:val="24"/>
        </w:rPr>
        <w:t xml:space="preserve"> – негативное отношение к занятиям, дезадаптация. Такие дети испытывают серьезные трудности, они не справляются с учебной деятельностью, у них возникают проблемы с другими детьми в коллективе, и во взаимоотношениях с педагогом, могут проявлять агрессивные реакции, отказываться выполнять те или иные задания, следовать тем или иным нормам и правилам. </w:t>
      </w:r>
    </w:p>
    <w:p w:rsidR="00D10E4D" w:rsidRPr="00051A3E" w:rsidRDefault="0072692D" w:rsidP="00051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3E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D10E4D" w:rsidRPr="00051A3E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2692D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1A3E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92D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E51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2021-01-27T02:56:00Z</dcterms:created>
  <dcterms:modified xsi:type="dcterms:W3CDTF">2021-01-27T09:27:00Z</dcterms:modified>
</cp:coreProperties>
</file>